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7"/>
      </w:tblGrid>
      <w:tr w:rsidR="00560804" w:rsidRPr="00D01698">
        <w:trPr>
          <w:trHeight w:val="1200"/>
          <w:tblCellSpacing w:w="0" w:type="dxa"/>
          <w:jc w:val="center"/>
        </w:trPr>
        <w:tc>
          <w:tcPr>
            <w:tcW w:w="4500" w:type="pct"/>
            <w:tcBorders>
              <w:bottom w:val="single" w:sz="12" w:space="0" w:color="CCCCCC"/>
            </w:tcBorders>
            <w:shd w:val="clear" w:color="auto" w:fill="FFFFFF"/>
            <w:vAlign w:val="center"/>
          </w:tcPr>
          <w:p w:rsidR="00560804" w:rsidRPr="00D01698" w:rsidRDefault="00D60894" w:rsidP="00D01698">
            <w:pPr>
              <w:widowControl/>
              <w:spacing w:before="150" w:after="150" w:line="360" w:lineRule="auto"/>
              <w:jc w:val="center"/>
              <w:rPr>
                <w:rFonts w:ascii="华文行楷" w:eastAsia="华文行楷" w:hAnsi="Times New Roman" w:cs="Times New Roman"/>
                <w:b/>
                <w:sz w:val="36"/>
                <w:szCs w:val="36"/>
              </w:rPr>
            </w:pPr>
            <w:r w:rsidRPr="00D01698">
              <w:rPr>
                <w:rFonts w:ascii="华文行楷" w:eastAsia="华文行楷" w:hAnsi="楷体" w:cs="Times New Roman" w:hint="eastAsia"/>
                <w:b/>
                <w:sz w:val="36"/>
                <w:szCs w:val="36"/>
                <w:lang w:val="en-US"/>
              </w:rPr>
              <w:t>金隆铜业有限公司白银供应链尽职调查政策</w:t>
            </w:r>
          </w:p>
        </w:tc>
      </w:tr>
      <w:tr w:rsidR="00560804" w:rsidRPr="00D01698">
        <w:trPr>
          <w:trHeight w:val="7500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560804" w:rsidRPr="00D01698" w:rsidRDefault="00D60894" w:rsidP="00D01698">
            <w:pPr>
              <w:pStyle w:val="a4"/>
              <w:widowControl/>
              <w:spacing w:beforeAutospacing="1" w:afterAutospacing="1" w:line="360" w:lineRule="auto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D01698">
              <w:rPr>
                <w:rFonts w:ascii="Times New Roman" w:eastAsia="楷体" w:hAnsi="Times New Roman" w:cs="Times New Roman"/>
                <w:spacing w:val="3"/>
                <w:sz w:val="28"/>
                <w:szCs w:val="28"/>
              </w:rPr>
              <w:t xml:space="preserve">    </w:t>
            </w:r>
            <w:r w:rsidRPr="00D01698">
              <w:rPr>
                <w:rFonts w:ascii="Times New Roman" w:eastAsia="楷体" w:hAnsi="楷体" w:cs="Times New Roman"/>
                <w:spacing w:val="3"/>
                <w:sz w:val="28"/>
                <w:szCs w:val="28"/>
              </w:rPr>
              <w:t>金隆铜业有限公司清楚地认识到从冲突区域和高风险</w:t>
            </w:r>
            <w:r w:rsidRPr="00D01698">
              <w:rPr>
                <w:rFonts w:ascii="Times New Roman" w:eastAsia="楷体" w:hAnsi="楷体" w:cs="Times New Roman"/>
                <w:spacing w:val="-11"/>
                <w:sz w:val="28"/>
                <w:szCs w:val="28"/>
              </w:rPr>
              <w:t>区域开采、处理和进出口金属产品可能会产生的不利影响，也清楚地</w:t>
            </w:r>
            <w:r w:rsidRPr="00D01698">
              <w:rPr>
                <w:rFonts w:ascii="Times New Roman" w:eastAsia="楷体" w:hAnsi="楷体" w:cs="Times New Roman"/>
                <w:spacing w:val="-12"/>
                <w:sz w:val="28"/>
                <w:szCs w:val="28"/>
              </w:rPr>
              <w:t>认识到我们有尊重人权、不支持冲突的责任。金隆铜业有限</w:t>
            </w:r>
            <w:r w:rsidRPr="00D01698">
              <w:rPr>
                <w:rFonts w:ascii="Times New Roman" w:eastAsia="楷体" w:hAnsi="楷体" w:cs="Times New Roman"/>
                <w:spacing w:val="-11"/>
                <w:sz w:val="28"/>
                <w:szCs w:val="28"/>
              </w:rPr>
              <w:t>公司严格遵守国家关于职工权利、环境保护、公平交易等各项法律法</w:t>
            </w:r>
            <w:r w:rsidRPr="00D01698">
              <w:rPr>
                <w:rFonts w:ascii="Times New Roman" w:eastAsia="楷体" w:hAnsi="楷体" w:cs="Times New Roman"/>
                <w:spacing w:val="-10"/>
                <w:sz w:val="28"/>
                <w:szCs w:val="28"/>
              </w:rPr>
              <w:t>规，积极参与白银供应链尽职调查工作，确保白银来源是合法的。为</w:t>
            </w:r>
            <w:r w:rsidRPr="00D01698">
              <w:rPr>
                <w:rFonts w:ascii="Times New Roman" w:eastAsia="楷体" w:hAnsi="楷体" w:cs="Times New Roman"/>
                <w:spacing w:val="-7"/>
                <w:sz w:val="28"/>
                <w:szCs w:val="28"/>
              </w:rPr>
              <w:t>此，我们做出以下承诺：</w:t>
            </w:r>
          </w:p>
          <w:p w:rsidR="00560804" w:rsidRPr="00D01698" w:rsidRDefault="00D60894" w:rsidP="00D01698">
            <w:pPr>
              <w:pStyle w:val="1"/>
              <w:widowControl/>
              <w:spacing w:line="360" w:lineRule="auto"/>
              <w:ind w:right="118" w:firstLine="0"/>
              <w:rPr>
                <w:rFonts w:ascii="华文楷体" w:eastAsia="华文楷体" w:hAnsi="华文楷体" w:cs="Times New Roman"/>
              </w:rPr>
            </w:pPr>
            <w:r w:rsidRPr="00D01698">
              <w:rPr>
                <w:rFonts w:ascii="华文楷体" w:eastAsia="华文楷体" w:hAnsi="华文楷体" w:cs="Times New Roman"/>
                <w:spacing w:val="-13"/>
              </w:rPr>
              <w:t>一、对开采、运输或交易金属而引起的大规模滥用人权的行为采</w:t>
            </w:r>
            <w:r w:rsidRPr="00D01698">
              <w:rPr>
                <w:rFonts w:ascii="华文楷体" w:eastAsia="华文楷体" w:hAnsi="华文楷体" w:cs="Times New Roman"/>
              </w:rPr>
              <w:t>取零容忍政策</w:t>
            </w:r>
          </w:p>
          <w:p w:rsidR="00560804" w:rsidRPr="00D01698" w:rsidRDefault="00D60894" w:rsidP="00D01698">
            <w:pPr>
              <w:pStyle w:val="a4"/>
              <w:widowControl/>
              <w:spacing w:beforeAutospacing="1" w:afterAutospacing="1" w:line="360" w:lineRule="auto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D01698">
              <w:rPr>
                <w:rFonts w:ascii="Times New Roman" w:eastAsia="楷体" w:hAnsi="Times New Roman" w:cs="Times New Roman"/>
                <w:sz w:val="28"/>
                <w:szCs w:val="28"/>
              </w:rPr>
              <w:t>1</w:t>
            </w:r>
            <w:r w:rsidRPr="00D01698">
              <w:rPr>
                <w:rFonts w:ascii="Times New Roman" w:eastAsia="楷体" w:hAnsi="楷体" w:cs="Times New Roman"/>
                <w:sz w:val="28"/>
                <w:szCs w:val="28"/>
              </w:rPr>
              <w:t>、任何形式的酷刑和其他残忍、不人道或有辱人格的待遇；</w:t>
            </w:r>
          </w:p>
          <w:p w:rsidR="00560804" w:rsidRPr="00D01698" w:rsidRDefault="00D60894" w:rsidP="00D01698">
            <w:pPr>
              <w:pStyle w:val="a4"/>
              <w:widowControl/>
              <w:spacing w:beforeAutospacing="1" w:afterAutospacing="1" w:line="360" w:lineRule="auto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D01698">
              <w:rPr>
                <w:rFonts w:ascii="Times New Roman" w:eastAsia="楷体" w:hAnsi="Times New Roman" w:cs="Times New Roman"/>
                <w:sz w:val="28"/>
                <w:szCs w:val="28"/>
              </w:rPr>
              <w:t>2</w:t>
            </w:r>
            <w:r w:rsidRPr="00D01698">
              <w:rPr>
                <w:rFonts w:ascii="Times New Roman" w:eastAsia="楷体" w:hAnsi="楷体" w:cs="Times New Roman"/>
                <w:sz w:val="28"/>
                <w:szCs w:val="28"/>
              </w:rPr>
              <w:t>、任何形式的强制劳动，即以威胁的方式强</w:t>
            </w:r>
            <w:bookmarkStart w:id="0" w:name="_GoBack"/>
            <w:bookmarkEnd w:id="0"/>
            <w:r w:rsidRPr="00D01698">
              <w:rPr>
                <w:rFonts w:ascii="Times New Roman" w:eastAsia="楷体" w:hAnsi="楷体" w:cs="Times New Roman"/>
                <w:sz w:val="28"/>
                <w:szCs w:val="28"/>
              </w:rPr>
              <w:t>迫任何人进行工作或提供服务，而非此人自愿；</w:t>
            </w:r>
          </w:p>
          <w:p w:rsidR="00560804" w:rsidRPr="00D01698" w:rsidRDefault="00D60894" w:rsidP="00D01698">
            <w:pPr>
              <w:pStyle w:val="a4"/>
              <w:widowControl/>
              <w:spacing w:beforeAutospacing="1" w:afterAutospacing="1" w:line="360" w:lineRule="auto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D01698">
              <w:rPr>
                <w:rFonts w:ascii="Times New Roman" w:eastAsia="楷体" w:hAnsi="Times New Roman" w:cs="Times New Roman"/>
                <w:sz w:val="28"/>
                <w:szCs w:val="28"/>
              </w:rPr>
              <w:t>3</w:t>
            </w:r>
            <w:r w:rsidRPr="00D01698">
              <w:rPr>
                <w:rFonts w:ascii="Times New Roman" w:eastAsia="楷体" w:hAnsi="楷体" w:cs="Times New Roman"/>
                <w:sz w:val="28"/>
                <w:szCs w:val="28"/>
              </w:rPr>
              <w:t>、使用童工；</w:t>
            </w:r>
          </w:p>
          <w:p w:rsidR="00560804" w:rsidRPr="00D01698" w:rsidRDefault="00D60894" w:rsidP="00D01698">
            <w:pPr>
              <w:pStyle w:val="a4"/>
              <w:widowControl/>
              <w:spacing w:beforeAutospacing="1" w:afterAutospacing="1" w:line="360" w:lineRule="auto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D01698">
              <w:rPr>
                <w:rFonts w:ascii="Times New Roman" w:eastAsia="楷体" w:hAnsi="Times New Roman" w:cs="Times New Roman"/>
                <w:sz w:val="28"/>
                <w:szCs w:val="28"/>
              </w:rPr>
              <w:t>4</w:t>
            </w:r>
            <w:r w:rsidRPr="00D01698">
              <w:rPr>
                <w:rFonts w:ascii="Times New Roman" w:eastAsia="楷体" w:hAnsi="楷体" w:cs="Times New Roman"/>
                <w:sz w:val="28"/>
                <w:szCs w:val="28"/>
              </w:rPr>
              <w:t>、性暴力等违背人权、滥用人权的罪行；</w:t>
            </w:r>
          </w:p>
          <w:p w:rsidR="00560804" w:rsidRPr="00D01698" w:rsidRDefault="00D60894" w:rsidP="00D01698">
            <w:pPr>
              <w:pStyle w:val="a4"/>
              <w:widowControl/>
              <w:spacing w:beforeAutospacing="1" w:afterAutospacing="1" w:line="360" w:lineRule="auto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D01698">
              <w:rPr>
                <w:rFonts w:ascii="Times New Roman" w:eastAsia="楷体" w:hAnsi="Times New Roman" w:cs="Times New Roman"/>
                <w:sz w:val="28"/>
                <w:szCs w:val="28"/>
              </w:rPr>
              <w:t>5</w:t>
            </w:r>
            <w:r w:rsidRPr="00D01698">
              <w:rPr>
                <w:rFonts w:ascii="Times New Roman" w:eastAsia="楷体" w:hAnsi="楷体" w:cs="Times New Roman"/>
                <w:sz w:val="28"/>
                <w:szCs w:val="28"/>
              </w:rPr>
              <w:t>、战争罪行，或其他严重违背国际人道主义法、反人道、造成种族灭绝的罪行。</w:t>
            </w:r>
          </w:p>
          <w:p w:rsidR="00560804" w:rsidRPr="00D01698" w:rsidRDefault="00D60894" w:rsidP="00D01698">
            <w:pPr>
              <w:pStyle w:val="a4"/>
              <w:widowControl/>
              <w:spacing w:beforeAutospacing="1" w:afterAutospacing="1" w:line="360" w:lineRule="auto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D01698">
              <w:rPr>
                <w:rFonts w:ascii="Times New Roman" w:eastAsia="楷体" w:hAnsi="楷体" w:cs="Times New Roman"/>
                <w:spacing w:val="-9"/>
                <w:sz w:val="28"/>
                <w:szCs w:val="28"/>
              </w:rPr>
              <w:t>如果我们确定上游供应商触犯上述任何一条，我们将立即暂停或</w:t>
            </w:r>
            <w:r w:rsidRPr="00D01698">
              <w:rPr>
                <w:rFonts w:ascii="Times New Roman" w:eastAsia="楷体" w:hAnsi="楷体" w:cs="Times New Roman"/>
                <w:spacing w:val="-3"/>
                <w:sz w:val="28"/>
                <w:szCs w:val="28"/>
              </w:rPr>
              <w:t>中止与此供应商的交易和接洽。</w:t>
            </w:r>
          </w:p>
          <w:p w:rsidR="00560804" w:rsidRPr="00D01698" w:rsidRDefault="00D60894" w:rsidP="00F86F73">
            <w:pPr>
              <w:pStyle w:val="a4"/>
              <w:widowControl/>
              <w:spacing w:before="100" w:beforeAutospacing="1" w:after="100" w:afterAutospacing="1" w:line="360" w:lineRule="auto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D01698">
              <w:rPr>
                <w:rStyle w:val="a5"/>
                <w:rFonts w:ascii="华文楷体" w:eastAsia="华文楷体" w:hAnsi="华文楷体" w:cs="Times New Roman"/>
                <w:spacing w:val="-12"/>
                <w:sz w:val="28"/>
                <w:szCs w:val="28"/>
              </w:rPr>
              <w:t>二、对非政府武装团体的直接或间接支持的行为采取零容忍政策</w:t>
            </w:r>
            <w:r w:rsidRPr="00D01698">
              <w:rPr>
                <w:rFonts w:ascii="华文楷体" w:eastAsia="华文楷体" w:hAnsi="华文楷体" w:cs="Times New Roman"/>
                <w:b/>
                <w:sz w:val="28"/>
                <w:szCs w:val="28"/>
              </w:rPr>
              <w:t> （</w:t>
            </w:r>
            <w:r w:rsidRPr="00D01698">
              <w:rPr>
                <w:rFonts w:ascii="华文楷体" w:eastAsia="华文楷体" w:hAnsi="华文楷体" w:cs="Times New Roman"/>
                <w:b/>
                <w:spacing w:val="-8"/>
                <w:sz w:val="28"/>
                <w:szCs w:val="28"/>
              </w:rPr>
              <w:t>包括但不限于做出下列行为的非政府武装团体、公共或私人安全部</w:t>
            </w:r>
            <w:r w:rsidRPr="00D01698">
              <w:rPr>
                <w:rFonts w:ascii="华文楷体" w:eastAsia="华文楷体" w:hAnsi="华文楷体" w:cs="Times New Roman"/>
                <w:b/>
                <w:sz w:val="28"/>
                <w:szCs w:val="28"/>
              </w:rPr>
              <w:t>队或其附属机构</w:t>
            </w:r>
            <w:r w:rsidRPr="00D01698">
              <w:rPr>
                <w:rFonts w:ascii="华文楷体" w:eastAsia="华文楷体" w:hAnsi="华文楷体" w:cs="Times New Roman"/>
                <w:b/>
                <w:spacing w:val="-139"/>
                <w:sz w:val="28"/>
                <w:szCs w:val="28"/>
              </w:rPr>
              <w:t>）</w:t>
            </w:r>
          </w:p>
          <w:p w:rsidR="00560804" w:rsidRPr="00D01698" w:rsidRDefault="00D60894" w:rsidP="00D01698">
            <w:pPr>
              <w:pStyle w:val="a4"/>
              <w:widowControl/>
              <w:spacing w:beforeAutospacing="1" w:afterAutospacing="1" w:line="360" w:lineRule="auto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D01698">
              <w:rPr>
                <w:rFonts w:ascii="Times New Roman" w:eastAsia="楷体" w:hAnsi="Times New Roman" w:cs="Times New Roman"/>
                <w:sz w:val="28"/>
                <w:szCs w:val="28"/>
              </w:rPr>
              <w:lastRenderedPageBreak/>
              <w:t>1</w:t>
            </w:r>
            <w:r w:rsidRPr="00D01698">
              <w:rPr>
                <w:rFonts w:ascii="Times New Roman" w:eastAsia="楷体" w:hAnsi="楷体" w:cs="Times New Roman"/>
                <w:sz w:val="28"/>
                <w:szCs w:val="28"/>
              </w:rPr>
              <w:t>、非法控制矿点或非法控制运输路线、金属交易点及供应链的上游供应商；</w:t>
            </w:r>
          </w:p>
          <w:p w:rsidR="00560804" w:rsidRPr="00D01698" w:rsidRDefault="00D60894" w:rsidP="00D01698">
            <w:pPr>
              <w:pStyle w:val="a4"/>
              <w:widowControl/>
              <w:spacing w:beforeAutospacing="1" w:afterAutospacing="1" w:line="360" w:lineRule="auto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D01698">
              <w:rPr>
                <w:rFonts w:ascii="Times New Roman" w:eastAsia="楷体" w:hAnsi="Times New Roman" w:cs="Times New Roman"/>
                <w:sz w:val="28"/>
                <w:szCs w:val="28"/>
              </w:rPr>
              <w:t>2</w:t>
            </w:r>
            <w:r w:rsidRPr="00D01698">
              <w:rPr>
                <w:rFonts w:ascii="Times New Roman" w:eastAsia="楷体" w:hAnsi="楷体" w:cs="Times New Roman"/>
                <w:sz w:val="28"/>
                <w:szCs w:val="28"/>
              </w:rPr>
              <w:t>、在矿点入口点、运输沿线或金属交易点进行非法敲诈勒索；</w:t>
            </w:r>
          </w:p>
          <w:p w:rsidR="00560804" w:rsidRPr="00D01698" w:rsidRDefault="00D60894" w:rsidP="00D01698">
            <w:pPr>
              <w:pStyle w:val="a4"/>
              <w:widowControl/>
              <w:spacing w:beforeAutospacing="1" w:afterAutospacing="1" w:line="360" w:lineRule="auto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D01698">
              <w:rPr>
                <w:rFonts w:ascii="Times New Roman" w:eastAsia="楷体" w:hAnsi="Times New Roman" w:cs="Times New Roman"/>
                <w:sz w:val="28"/>
                <w:szCs w:val="28"/>
              </w:rPr>
              <w:t>3</w:t>
            </w:r>
            <w:r w:rsidRPr="00D01698">
              <w:rPr>
                <w:rFonts w:ascii="Times New Roman" w:eastAsia="楷体" w:hAnsi="楷体" w:cs="Times New Roman"/>
                <w:sz w:val="28"/>
                <w:szCs w:val="28"/>
              </w:rPr>
              <w:t>、非法敲诈中间商、出口公司或国际贸易商。</w:t>
            </w:r>
          </w:p>
          <w:p w:rsidR="00560804" w:rsidRPr="00D01698" w:rsidRDefault="00D60894" w:rsidP="00D01698">
            <w:pPr>
              <w:pStyle w:val="a4"/>
              <w:widowControl/>
              <w:spacing w:beforeAutospacing="1" w:afterAutospacing="1" w:line="360" w:lineRule="auto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D01698">
              <w:rPr>
                <w:rFonts w:ascii="Times New Roman" w:eastAsia="楷体" w:hAnsi="楷体" w:cs="Times New Roman"/>
                <w:spacing w:val="-9"/>
                <w:sz w:val="28"/>
                <w:szCs w:val="28"/>
              </w:rPr>
              <w:t>如果我们确定上游供应商触犯上述任何一条，我们将立即暂停或</w:t>
            </w:r>
            <w:r w:rsidRPr="00D01698">
              <w:rPr>
                <w:rFonts w:ascii="Times New Roman" w:eastAsia="楷体" w:hAnsi="楷体" w:cs="Times New Roman"/>
                <w:spacing w:val="-3"/>
                <w:sz w:val="28"/>
                <w:szCs w:val="28"/>
              </w:rPr>
              <w:t>中止与此供应商的交易和接洽。</w:t>
            </w:r>
          </w:p>
          <w:p w:rsidR="00560804" w:rsidRPr="00D01698" w:rsidRDefault="00D60894" w:rsidP="00D01698">
            <w:pPr>
              <w:pStyle w:val="1"/>
              <w:widowControl/>
              <w:spacing w:line="360" w:lineRule="auto"/>
              <w:ind w:right="115" w:firstLine="0"/>
              <w:rPr>
                <w:rFonts w:ascii="华文楷体" w:eastAsia="华文楷体" w:hAnsi="华文楷体" w:cs="Times New Roman"/>
              </w:rPr>
            </w:pPr>
            <w:r w:rsidRPr="00D01698">
              <w:rPr>
                <w:rFonts w:ascii="华文楷体" w:eastAsia="华文楷体" w:hAnsi="华文楷体" w:cs="Times New Roman"/>
                <w:spacing w:val="-13"/>
              </w:rPr>
              <w:t>三、不以任何方式向个人，包括政府官员、客户、和供应商或任</w:t>
            </w:r>
            <w:r w:rsidRPr="00D01698">
              <w:rPr>
                <w:rFonts w:ascii="华文楷体" w:eastAsia="华文楷体" w:hAnsi="华文楷体" w:cs="Times New Roman"/>
              </w:rPr>
              <w:t>何其他组织提出、承诺、给予或要求贿赂或回扣</w:t>
            </w:r>
          </w:p>
          <w:p w:rsidR="00560804" w:rsidRPr="00D01698" w:rsidRDefault="00D60894" w:rsidP="00D01698">
            <w:pPr>
              <w:widowControl/>
              <w:spacing w:beforeAutospacing="1" w:afterAutospacing="1" w:line="360" w:lineRule="auto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D01698">
              <w:rPr>
                <w:rFonts w:ascii="华文楷体" w:eastAsia="华文楷体" w:hAnsi="华文楷体" w:cs="Times New Roman"/>
                <w:b/>
                <w:spacing w:val="-13"/>
                <w:sz w:val="28"/>
                <w:szCs w:val="28"/>
                <w:lang w:val="en-US"/>
              </w:rPr>
              <w:t>四、要求我们的员工、供应商和商业伙伴遵守上述政策，并采取</w:t>
            </w:r>
            <w:r w:rsidRPr="00D01698">
              <w:rPr>
                <w:rFonts w:ascii="华文楷体" w:eastAsia="华文楷体" w:hAnsi="华文楷体" w:cs="Times New Roman"/>
                <w:b/>
                <w:sz w:val="28"/>
                <w:szCs w:val="28"/>
                <w:lang w:val="en-US"/>
              </w:rPr>
              <w:t>必要措施来保障上述政策的贯彻落实</w:t>
            </w:r>
          </w:p>
          <w:p w:rsidR="00560804" w:rsidRPr="00D01698" w:rsidRDefault="00D60894" w:rsidP="00D01698">
            <w:pPr>
              <w:pStyle w:val="a4"/>
              <w:widowControl/>
              <w:spacing w:beforeAutospacing="1" w:afterAutospacing="1" w:line="360" w:lineRule="auto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D01698">
              <w:rPr>
                <w:rFonts w:ascii="Times New Roman" w:eastAsia="楷体" w:hAnsi="楷体" w:cs="Times New Roman"/>
                <w:spacing w:val="-8"/>
                <w:sz w:val="28"/>
                <w:szCs w:val="28"/>
              </w:rPr>
              <w:t>金隆铜业有限公司愿意接受客户和相关组织的监督，并</w:t>
            </w:r>
            <w:r w:rsidRPr="00D01698">
              <w:rPr>
                <w:rFonts w:ascii="Times New Roman" w:eastAsia="楷体" w:hAnsi="楷体" w:cs="Times New Roman"/>
                <w:spacing w:val="-3"/>
                <w:sz w:val="28"/>
                <w:szCs w:val="28"/>
              </w:rPr>
              <w:t>欢迎供应商和利益相关方对上述政策提供建议。联系电话：</w:t>
            </w:r>
            <w:r w:rsidR="00D01698" w:rsidRPr="00D01698">
              <w:rPr>
                <w:rFonts w:ascii="Times New Roman" w:eastAsia="楷体" w:hAnsi="Times New Roman" w:cs="Times New Roman"/>
                <w:spacing w:val="-3"/>
                <w:sz w:val="28"/>
                <w:szCs w:val="28"/>
              </w:rPr>
              <w:t>0562</w:t>
            </w:r>
            <w:r w:rsidR="00D01698" w:rsidRPr="00D01698">
              <w:rPr>
                <w:rFonts w:ascii="Times New Roman" w:eastAsia="楷体" w:hAnsi="Times New Roman" w:cs="Times New Roman" w:hint="eastAsia"/>
                <w:spacing w:val="-3"/>
                <w:sz w:val="28"/>
                <w:szCs w:val="28"/>
              </w:rPr>
              <w:t>-3</w:t>
            </w:r>
            <w:r w:rsidRPr="00D01698">
              <w:rPr>
                <w:rFonts w:ascii="Times New Roman" w:eastAsia="楷体" w:hAnsi="Times New Roman" w:cs="Times New Roman"/>
                <w:spacing w:val="-3"/>
                <w:sz w:val="28"/>
                <w:szCs w:val="28"/>
              </w:rPr>
              <w:t>8681</w:t>
            </w:r>
            <w:r w:rsidR="00D01698" w:rsidRPr="00D01698">
              <w:rPr>
                <w:rFonts w:ascii="Times New Roman" w:eastAsia="楷体" w:hAnsi="Times New Roman" w:cs="Times New Roman"/>
                <w:spacing w:val="-3"/>
                <w:sz w:val="28"/>
                <w:szCs w:val="28"/>
              </w:rPr>
              <w:t>37</w:t>
            </w:r>
            <w:r w:rsidRPr="00D01698">
              <w:rPr>
                <w:rFonts w:ascii="Times New Roman" w:eastAsia="楷体" w:hAnsi="Times New Roman" w:cs="Times New Roman"/>
                <w:spacing w:val="-3"/>
                <w:sz w:val="28"/>
                <w:szCs w:val="28"/>
              </w:rPr>
              <w:t> </w:t>
            </w:r>
            <w:r w:rsidR="00D01698" w:rsidRPr="00D01698">
              <w:rPr>
                <w:rFonts w:ascii="Times New Roman" w:eastAsia="楷体" w:hAnsi="Times New Roman" w:cs="Times New Roman"/>
                <w:spacing w:val="-3"/>
                <w:sz w:val="28"/>
                <w:szCs w:val="28"/>
              </w:rPr>
              <w:t>，</w:t>
            </w:r>
            <w:r w:rsidRPr="00D01698">
              <w:rPr>
                <w:rFonts w:ascii="Times New Roman" w:eastAsia="楷体" w:hAnsi="楷体" w:cs="Times New Roman"/>
                <w:spacing w:val="-3"/>
                <w:sz w:val="28"/>
                <w:szCs w:val="28"/>
              </w:rPr>
              <w:t>联系邮箱：</w:t>
            </w:r>
            <w:hyperlink r:id="rId7" w:history="1">
              <w:r w:rsidR="00D01698" w:rsidRPr="00D01698">
                <w:rPr>
                  <w:rStyle w:val="a6"/>
                  <w:rFonts w:ascii="Times New Roman" w:eastAsia="楷体" w:hAnsi="Times New Roman" w:cs="Times New Roman"/>
                  <w:sz w:val="28"/>
                  <w:szCs w:val="28"/>
                </w:rPr>
                <w:t>licx@jinlongcopper.com</w:t>
              </w:r>
            </w:hyperlink>
            <w:r w:rsidR="00D01698" w:rsidRPr="00D01698">
              <w:rPr>
                <w:rFonts w:ascii="Times New Roman" w:eastAsia="楷体" w:hAnsi="Times New Roman" w:cs="Times New Roman"/>
                <w:sz w:val="28"/>
                <w:szCs w:val="28"/>
              </w:rPr>
              <w:t>。</w:t>
            </w:r>
          </w:p>
        </w:tc>
      </w:tr>
    </w:tbl>
    <w:p w:rsidR="00560804" w:rsidRPr="00D01698" w:rsidRDefault="00560804" w:rsidP="00D01698">
      <w:pPr>
        <w:pStyle w:val="a3"/>
        <w:spacing w:line="360" w:lineRule="auto"/>
        <w:ind w:right="118" w:firstLine="559"/>
        <w:rPr>
          <w:rFonts w:ascii="Times New Roman" w:eastAsia="楷体" w:hAnsi="Times New Roman" w:cs="Times New Roman"/>
          <w:spacing w:val="-3"/>
          <w:lang w:val="en-US"/>
        </w:rPr>
      </w:pPr>
    </w:p>
    <w:sectPr w:rsidR="00560804" w:rsidRPr="00D01698" w:rsidSect="00EB5537">
      <w:pgSz w:w="11910" w:h="16840"/>
      <w:pgMar w:top="1520" w:right="1418" w:bottom="27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4BA" w:rsidRDefault="00B154BA" w:rsidP="009945A5">
      <w:r>
        <w:separator/>
      </w:r>
    </w:p>
  </w:endnote>
  <w:endnote w:type="continuationSeparator" w:id="1">
    <w:p w:rsidR="00B154BA" w:rsidRDefault="00B154BA" w:rsidP="0099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4BA" w:rsidRDefault="00B154BA" w:rsidP="009945A5">
      <w:r>
        <w:separator/>
      </w:r>
    </w:p>
  </w:footnote>
  <w:footnote w:type="continuationSeparator" w:id="1">
    <w:p w:rsidR="00B154BA" w:rsidRDefault="00B154BA" w:rsidP="00994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560804"/>
    <w:rsid w:val="00560804"/>
    <w:rsid w:val="009945A5"/>
    <w:rsid w:val="00B154BA"/>
    <w:rsid w:val="00C0784B"/>
    <w:rsid w:val="00C9259F"/>
    <w:rsid w:val="00D01698"/>
    <w:rsid w:val="00D60894"/>
    <w:rsid w:val="00EB5537"/>
    <w:rsid w:val="00F531B9"/>
    <w:rsid w:val="00F56484"/>
    <w:rsid w:val="00F86F73"/>
    <w:rsid w:val="12AF0417"/>
    <w:rsid w:val="271E2417"/>
    <w:rsid w:val="71950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60804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560804"/>
    <w:pPr>
      <w:ind w:left="120" w:firstLine="5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60804"/>
    <w:pPr>
      <w:ind w:left="120"/>
    </w:pPr>
    <w:rPr>
      <w:sz w:val="28"/>
      <w:szCs w:val="28"/>
    </w:rPr>
  </w:style>
  <w:style w:type="paragraph" w:styleId="a4">
    <w:name w:val="Normal (Web)"/>
    <w:basedOn w:val="a"/>
    <w:rsid w:val="00560804"/>
    <w:rPr>
      <w:sz w:val="24"/>
    </w:rPr>
  </w:style>
  <w:style w:type="character" w:styleId="a5">
    <w:name w:val="Strong"/>
    <w:basedOn w:val="a0"/>
    <w:qFormat/>
    <w:rsid w:val="00560804"/>
    <w:rPr>
      <w:b/>
    </w:rPr>
  </w:style>
  <w:style w:type="character" w:styleId="a6">
    <w:name w:val="Hyperlink"/>
    <w:basedOn w:val="a0"/>
    <w:rsid w:val="0056080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608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560804"/>
  </w:style>
  <w:style w:type="paragraph" w:customStyle="1" w:styleId="TableParagraph">
    <w:name w:val="Table Paragraph"/>
    <w:basedOn w:val="a"/>
    <w:uiPriority w:val="1"/>
    <w:qFormat/>
    <w:rsid w:val="00560804"/>
  </w:style>
  <w:style w:type="paragraph" w:styleId="a8">
    <w:name w:val="header"/>
    <w:basedOn w:val="a"/>
    <w:link w:val="Char"/>
    <w:rsid w:val="00994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945A5"/>
    <w:rPr>
      <w:rFonts w:ascii="宋体" w:hAnsi="宋体" w:cs="宋体"/>
      <w:sz w:val="18"/>
      <w:szCs w:val="18"/>
      <w:lang w:val="zh-CN" w:bidi="zh-CN"/>
    </w:rPr>
  </w:style>
  <w:style w:type="paragraph" w:styleId="a9">
    <w:name w:val="footer"/>
    <w:basedOn w:val="a"/>
    <w:link w:val="Char0"/>
    <w:rsid w:val="009945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9945A5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x@jinlongcopp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王婷婷</dc:creator>
  <cp:lastModifiedBy>w2</cp:lastModifiedBy>
  <cp:revision>6</cp:revision>
  <dcterms:created xsi:type="dcterms:W3CDTF">2019-11-05T01:50:00Z</dcterms:created>
  <dcterms:modified xsi:type="dcterms:W3CDTF">2020-09-25T01:57:00Z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2052-11.1.0.9175</vt:lpwstr>
  </property>
</Properties>
</file>